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369AB" w14:textId="77777777" w:rsidR="00D849C6" w:rsidRPr="00D849C6" w:rsidRDefault="00F11BB5" w:rsidP="00D849C6">
      <w:pPr>
        <w:pStyle w:val="Title"/>
        <w:jc w:val="center"/>
        <w:rPr>
          <w:b/>
          <w:sz w:val="44"/>
          <w:szCs w:val="44"/>
        </w:rPr>
      </w:pPr>
      <w:r w:rsidRPr="00D849C6">
        <w:rPr>
          <w:b/>
          <w:sz w:val="44"/>
          <w:szCs w:val="44"/>
        </w:rPr>
        <w:t>University of North Carolina at Greensboro</w:t>
      </w:r>
    </w:p>
    <w:p w14:paraId="7809D454" w14:textId="4D18A875" w:rsidR="00304244" w:rsidRPr="00D849C6" w:rsidRDefault="00F11BB5" w:rsidP="00D849C6">
      <w:pPr>
        <w:pStyle w:val="Title"/>
        <w:jc w:val="center"/>
        <w:rPr>
          <w:b/>
          <w:sz w:val="28"/>
          <w:szCs w:val="28"/>
        </w:rPr>
      </w:pPr>
      <w:r w:rsidRPr="00D849C6">
        <w:rPr>
          <w:b/>
          <w:color w:val="FFA700"/>
          <w:sz w:val="28"/>
          <w:szCs w:val="28"/>
        </w:rPr>
        <w:t>Bryan School of Business and Economics</w:t>
      </w:r>
      <w:r w:rsidRPr="00D849C6">
        <w:rPr>
          <w:b/>
          <w:color w:val="FFA700"/>
          <w:sz w:val="28"/>
          <w:szCs w:val="28"/>
        </w:rPr>
        <w:br/>
        <w:t>Department of Economics</w:t>
      </w:r>
    </w:p>
    <w:p w14:paraId="2C2384EA" w14:textId="77777777" w:rsidR="00304244" w:rsidRDefault="00F11BB5">
      <w:pPr>
        <w:pStyle w:val="Heading1"/>
      </w:pPr>
      <w:r>
        <w:t>ECO 300-01, 02 — Spring 2026</w:t>
      </w:r>
    </w:p>
    <w:p w14:paraId="69AEDC26" w14:textId="77777777" w:rsidR="00304244" w:rsidRPr="00C0694B" w:rsidRDefault="00F11BB5">
      <w:pPr>
        <w:pStyle w:val="Heading2"/>
        <w:rPr>
          <w:color w:val="365F91" w:themeColor="accent1" w:themeShade="BF"/>
        </w:rPr>
      </w:pPr>
      <w:r w:rsidRPr="00C0694B">
        <w:rPr>
          <w:color w:val="365F91" w:themeColor="accent1" w:themeShade="BF"/>
        </w:rPr>
        <w:t>Instructor(s)</w:t>
      </w:r>
    </w:p>
    <w:p w14:paraId="74408128" w14:textId="77777777" w:rsidR="00304244" w:rsidRDefault="00F11BB5">
      <w:r>
        <w:t xml:space="preserve">ECO 300-01: Jeff Sarbaum, Ph.D. — </w:t>
      </w:r>
      <w:hyperlink r:id="rId9">
        <w:r w:rsidR="00304244">
          <w:t>jksarbau@uncg.edu</w:t>
        </w:r>
      </w:hyperlink>
    </w:p>
    <w:p w14:paraId="69A7D630" w14:textId="77777777" w:rsidR="00304244" w:rsidRPr="00C0694B" w:rsidRDefault="00F11BB5">
      <w:pPr>
        <w:pStyle w:val="Heading2"/>
        <w:rPr>
          <w:color w:val="365F91" w:themeColor="accent1" w:themeShade="BF"/>
        </w:rPr>
      </w:pPr>
      <w:r w:rsidRPr="00C0694B">
        <w:rPr>
          <w:color w:val="365F91" w:themeColor="accent1" w:themeShade="BF"/>
        </w:rPr>
        <w:t>Location</w:t>
      </w:r>
    </w:p>
    <w:p w14:paraId="66D0D69D" w14:textId="77777777" w:rsidR="00304244" w:rsidRDefault="00F11BB5">
      <w:r>
        <w:t>Asynchronous online</w:t>
      </w:r>
    </w:p>
    <w:p w14:paraId="74C62371" w14:textId="77777777" w:rsidR="00304244" w:rsidRPr="00C0694B" w:rsidRDefault="00F11BB5">
      <w:pPr>
        <w:pStyle w:val="Heading2"/>
        <w:rPr>
          <w:color w:val="365F91" w:themeColor="accent1" w:themeShade="BF"/>
        </w:rPr>
      </w:pPr>
      <w:r w:rsidRPr="00C0694B">
        <w:rPr>
          <w:color w:val="365F91" w:themeColor="accent1" w:themeShade="BF"/>
        </w:rPr>
        <w:t>Office Hours</w:t>
      </w:r>
    </w:p>
    <w:p w14:paraId="704AA128" w14:textId="77777777" w:rsidR="00304244" w:rsidRDefault="00F11BB5">
      <w:r>
        <w:t>Use the “Questions for the Professor” discussion board in Canvas and attend Microsoft Teams office hours listed at the top of the Canvas modules page.</w:t>
      </w:r>
    </w:p>
    <w:p w14:paraId="7A156627" w14:textId="77777777" w:rsidR="00304244" w:rsidRPr="00C0694B" w:rsidRDefault="00F11BB5">
      <w:pPr>
        <w:pStyle w:val="Heading2"/>
        <w:rPr>
          <w:color w:val="365F91" w:themeColor="accent1" w:themeShade="BF"/>
        </w:rPr>
      </w:pPr>
      <w:r w:rsidRPr="00C0694B">
        <w:rPr>
          <w:color w:val="365F91" w:themeColor="accent1" w:themeShade="BF"/>
        </w:rPr>
        <w:t>Course Description</w:t>
      </w:r>
    </w:p>
    <w:p w14:paraId="21FCD24B" w14:textId="77777777" w:rsidR="00304244" w:rsidRDefault="00F11BB5">
      <w:r>
        <w:t>Examines the history, structure, and institutional foundations of the international trading system. Analyzes the impact of trade on economic growth, employment, and living standards with a focus on contemporary issues. Credit hours: 3.</w:t>
      </w:r>
    </w:p>
    <w:p w14:paraId="7B1C3EEA" w14:textId="77777777" w:rsidR="00304244" w:rsidRPr="00C0694B" w:rsidRDefault="00F11BB5">
      <w:pPr>
        <w:pStyle w:val="Heading2"/>
        <w:rPr>
          <w:color w:val="365F91" w:themeColor="accent1" w:themeShade="BF"/>
        </w:rPr>
      </w:pPr>
      <w:r w:rsidRPr="00C0694B">
        <w:rPr>
          <w:color w:val="365F91" w:themeColor="accent1" w:themeShade="BF"/>
        </w:rPr>
        <w:t>Prerequisites</w:t>
      </w:r>
    </w:p>
    <w:p w14:paraId="05A695A4" w14:textId="77777777" w:rsidR="00304244" w:rsidRDefault="00F11BB5">
      <w:r>
        <w:t>ECO 101 or ECO 201 and ECO 202, or their equivalent.</w:t>
      </w:r>
    </w:p>
    <w:p w14:paraId="62C76727" w14:textId="77777777" w:rsidR="00304244" w:rsidRPr="00C0694B" w:rsidRDefault="00F11BB5">
      <w:pPr>
        <w:pStyle w:val="Heading2"/>
        <w:rPr>
          <w:color w:val="365F91" w:themeColor="accent1" w:themeShade="BF"/>
        </w:rPr>
      </w:pPr>
      <w:r w:rsidRPr="00C0694B">
        <w:rPr>
          <w:color w:val="365F91" w:themeColor="accent1" w:themeShade="BF"/>
        </w:rPr>
        <w:t>Course Learning Outcomes</w:t>
      </w:r>
    </w:p>
    <w:p w14:paraId="16CD3450" w14:textId="77777777" w:rsidR="00304244" w:rsidRDefault="00F11BB5">
      <w:r>
        <w:t>To achieve the GL Student Learning Outcomes (SLOs) within the context of this course, students who successfully complete this course will be able to critically analyze international economic issues through achievement of the following course-specific SLOs:</w:t>
      </w:r>
    </w:p>
    <w:p w14:paraId="595C9F2D" w14:textId="77777777" w:rsidR="00304244" w:rsidRDefault="00F11BB5">
      <w:pPr>
        <w:pStyle w:val="ListNumber"/>
      </w:pPr>
      <w:r>
        <w:t>ECO 300 SLO 1: Identify important positive international economic issues present in the global economy.</w:t>
      </w:r>
    </w:p>
    <w:p w14:paraId="51537171" w14:textId="77777777" w:rsidR="00304244" w:rsidRDefault="00F11BB5">
      <w:pPr>
        <w:pStyle w:val="ListNumber"/>
      </w:pPr>
      <w:r>
        <w:t>ECO 300 SLO 2: Identify important public policy and other normative international economic issues present in the global economy.</w:t>
      </w:r>
    </w:p>
    <w:p w14:paraId="0933CBB4" w14:textId="77777777" w:rsidR="00304244" w:rsidRDefault="00F11BB5">
      <w:pPr>
        <w:pStyle w:val="ListNumber"/>
      </w:pPr>
      <w:r>
        <w:t>ECO 300 SLO 3: Choose appropriate models and other frames of reference for addressing global economics issues.</w:t>
      </w:r>
    </w:p>
    <w:p w14:paraId="231A6F17" w14:textId="77777777" w:rsidR="00304244" w:rsidRDefault="00F11BB5">
      <w:pPr>
        <w:pStyle w:val="ListNumber"/>
      </w:pPr>
      <w:r>
        <w:t>ECO 300 SLO 4: Gather information appropriate to addressing global economic issues.</w:t>
      </w:r>
    </w:p>
    <w:p w14:paraId="48248FC2" w14:textId="77777777" w:rsidR="00304244" w:rsidRDefault="00F11BB5">
      <w:pPr>
        <w:pStyle w:val="ListNumber"/>
      </w:pPr>
      <w:r>
        <w:lastRenderedPageBreak/>
        <w:t>ECO 300 SLO 5: Use appropriate information, models, and other frames of reference to analyze global economic issues.</w:t>
      </w:r>
    </w:p>
    <w:p w14:paraId="3DABED7A" w14:textId="77777777" w:rsidR="00304244" w:rsidRPr="00C0694B" w:rsidRDefault="00F11BB5">
      <w:pPr>
        <w:pStyle w:val="Heading2"/>
        <w:rPr>
          <w:color w:val="365F91" w:themeColor="accent1" w:themeShade="BF"/>
        </w:rPr>
      </w:pPr>
      <w:r w:rsidRPr="00C0694B">
        <w:rPr>
          <w:color w:val="365F91" w:themeColor="accent1" w:themeShade="BF"/>
        </w:rPr>
        <w:t>Required Text, Media, and Software</w:t>
      </w:r>
    </w:p>
    <w:p w14:paraId="07C23FA9" w14:textId="77777777" w:rsidR="00304244" w:rsidRDefault="00F11BB5">
      <w:r>
        <w:t>Required textbook for this course:</w:t>
      </w:r>
    </w:p>
    <w:p w14:paraId="4210DDCF" w14:textId="77777777" w:rsidR="00304244" w:rsidRDefault="00F11BB5">
      <w:pPr>
        <w:pStyle w:val="ListBullet"/>
      </w:pPr>
      <w:r>
        <w:t>International Economics, 8th ed., by James Gerber with MyLab access code.</w:t>
      </w:r>
    </w:p>
    <w:p w14:paraId="1C1A1682" w14:textId="77777777" w:rsidR="00304244" w:rsidRDefault="00F11BB5">
      <w:r>
        <w:t>This book is available:</w:t>
      </w:r>
    </w:p>
    <w:p w14:paraId="2FDE3791" w14:textId="77777777" w:rsidR="00304244" w:rsidRDefault="00F11BB5">
      <w:pPr>
        <w:pStyle w:val="ListBullet"/>
      </w:pPr>
      <w:r>
        <w:t>At the UNCG Bookstore.</w:t>
      </w:r>
    </w:p>
    <w:p w14:paraId="7B06944F" w14:textId="77777777" w:rsidR="00304244" w:rsidRDefault="00F11BB5">
      <w:pPr>
        <w:pStyle w:val="ListBullet"/>
      </w:pPr>
      <w:r>
        <w:t>Within the Canvas “Course Materials” link if you signed up for First Day Complete.</w:t>
      </w:r>
    </w:p>
    <w:p w14:paraId="46748459" w14:textId="77777777" w:rsidR="00304244" w:rsidRDefault="00F11BB5">
      <w:pPr>
        <w:pStyle w:val="ListBullet"/>
      </w:pPr>
      <w:r>
        <w:t>Directly from the publisher through Canvas by clicking on an assignment link.</w:t>
      </w:r>
    </w:p>
    <w:p w14:paraId="7F0628AA" w14:textId="77777777" w:rsidR="00304244" w:rsidRDefault="00F11BB5">
      <w:r w:rsidRPr="00C0694B">
        <w:rPr>
          <w:bCs/>
        </w:rPr>
        <w:t>Note:</w:t>
      </w:r>
      <w:r>
        <w:rPr>
          <w:b/>
        </w:rPr>
        <w:t xml:space="preserve"> </w:t>
      </w:r>
      <w:r>
        <w:t>The eText and MyLab software are integrated with Canvas. You will be prompted to enter your access code or make a direct purchase the first time you access the Textbook/Homework/Quizzes through a link in Canvas.</w:t>
      </w:r>
    </w:p>
    <w:p w14:paraId="2A52F5E6" w14:textId="77777777" w:rsidR="00304244" w:rsidRPr="00C0694B" w:rsidRDefault="00F11BB5">
      <w:pPr>
        <w:pStyle w:val="Heading2"/>
        <w:rPr>
          <w:color w:val="365F91" w:themeColor="accent1" w:themeShade="BF"/>
        </w:rPr>
      </w:pPr>
      <w:r w:rsidRPr="00C0694B">
        <w:rPr>
          <w:color w:val="365F91" w:themeColor="accent1" w:themeShade="BF"/>
        </w:rPr>
        <w:t>General Description of Course Activities</w:t>
      </w:r>
    </w:p>
    <w:p w14:paraId="4BB04103" w14:textId="77777777" w:rsidR="00304244" w:rsidRDefault="00F11BB5">
      <w:r>
        <w:t>The course has one introductory module (“Module 0”) and thirteen (13) weekly graded modules. Module 0 contains an Academic Integrity Pledge, a Copyright Understanding Pledge, a “How to Do Homework Assignments” MyLab assignment, a “How to Do Quizzes” MyLab assignment, and a Syllabus Quiz. These materials do not count toward your course grade, but they must be completed to access the rest of the modules.</w:t>
      </w:r>
    </w:p>
    <w:p w14:paraId="43BADC5E" w14:textId="77777777" w:rsidR="00304244" w:rsidRDefault="00F11BB5">
      <w:r>
        <w:t>Weekly Modules 1–13 have content pages in Canvas, chapter reading assignments from the International Economics textbook, and a homework and quiz based on these readings using the MyLab textbook software.</w:t>
      </w:r>
    </w:p>
    <w:p w14:paraId="72A4D88A" w14:textId="77777777" w:rsidR="00304244" w:rsidRPr="00C0694B" w:rsidRDefault="00F11BB5">
      <w:pPr>
        <w:pStyle w:val="Heading2"/>
        <w:rPr>
          <w:color w:val="365F91" w:themeColor="accent1" w:themeShade="BF"/>
        </w:rPr>
      </w:pPr>
      <w:r w:rsidRPr="00C0694B">
        <w:rPr>
          <w:color w:val="365F91" w:themeColor="accent1" w:themeShade="BF"/>
        </w:rPr>
        <w:t>Readings</w:t>
      </w:r>
    </w:p>
    <w:p w14:paraId="39141088" w14:textId="77777777" w:rsidR="00304244" w:rsidRDefault="00F11BB5">
      <w:r>
        <w:t>For each module, you are expected to review the content pages in Canvas and read the International Economics textbook chapters assigned to the module.</w:t>
      </w:r>
    </w:p>
    <w:p w14:paraId="51CB088C" w14:textId="77777777" w:rsidR="00304244" w:rsidRPr="00C0694B" w:rsidRDefault="00F11BB5">
      <w:pPr>
        <w:pStyle w:val="Heading2"/>
        <w:rPr>
          <w:color w:val="365F91" w:themeColor="accent1" w:themeShade="BF"/>
        </w:rPr>
      </w:pPr>
      <w:r w:rsidRPr="00C0694B">
        <w:rPr>
          <w:color w:val="365F91" w:themeColor="accent1" w:themeShade="BF"/>
        </w:rPr>
        <w:t>Assignments</w:t>
      </w:r>
    </w:p>
    <w:p w14:paraId="7513C636" w14:textId="77777777" w:rsidR="00304244" w:rsidRPr="00C0694B" w:rsidRDefault="00F11BB5">
      <w:pPr>
        <w:pStyle w:val="Heading3"/>
        <w:rPr>
          <w:color w:val="365F91" w:themeColor="accent1" w:themeShade="BF"/>
        </w:rPr>
      </w:pPr>
      <w:r w:rsidRPr="00C0694B">
        <w:rPr>
          <w:color w:val="365F91" w:themeColor="accent1" w:themeShade="BF"/>
        </w:rPr>
        <w:t>Module Homework (HW)</w:t>
      </w:r>
    </w:p>
    <w:p w14:paraId="12A80047" w14:textId="77777777" w:rsidR="00304244" w:rsidRDefault="00F11BB5">
      <w:r>
        <w:t>Each module has a MyLab HW assignment based on materials from the assigned module readings. The HWs are a mix of 25 to 30 multiple-choice, fill-in, and interactive graphing questions.</w:t>
      </w:r>
    </w:p>
    <w:p w14:paraId="521F649B" w14:textId="77777777" w:rsidR="00304244" w:rsidRDefault="00F11BB5">
      <w:r>
        <w:t>Homework questions operate as follows:</w:t>
      </w:r>
    </w:p>
    <w:p w14:paraId="19636CB9" w14:textId="77777777" w:rsidR="00304244" w:rsidRDefault="00F11BB5">
      <w:pPr>
        <w:pStyle w:val="ListBullet"/>
      </w:pPr>
      <w:r>
        <w:lastRenderedPageBreak/>
        <w:t>If correct on a homework question, you’ll move on to the next question.</w:t>
      </w:r>
    </w:p>
    <w:p w14:paraId="164EA397" w14:textId="77777777" w:rsidR="00304244" w:rsidRDefault="00F11BB5">
      <w:pPr>
        <w:pStyle w:val="ListBullet"/>
      </w:pPr>
      <w:r>
        <w:t>If incorrect, you will receive a new variation of the question with one more attempt.</w:t>
      </w:r>
    </w:p>
    <w:p w14:paraId="61E69C0A" w14:textId="77777777" w:rsidR="00304244" w:rsidRDefault="00F11BB5">
      <w:pPr>
        <w:pStyle w:val="ListBullet"/>
      </w:pPr>
      <w:r>
        <w:t>If the second attempt is incorrect, the question will be scored as incorrect in the gradebook, and you’ll move on to the next question.</w:t>
      </w:r>
    </w:p>
    <w:p w14:paraId="66FD10B6" w14:textId="77777777" w:rsidR="00304244" w:rsidRPr="00C0694B" w:rsidRDefault="00F11BB5">
      <w:pPr>
        <w:pStyle w:val="Heading3"/>
        <w:rPr>
          <w:color w:val="365F91" w:themeColor="accent1" w:themeShade="BF"/>
        </w:rPr>
      </w:pPr>
      <w:r w:rsidRPr="00C0694B">
        <w:rPr>
          <w:color w:val="365F91" w:themeColor="accent1" w:themeShade="BF"/>
        </w:rPr>
        <w:t>Module Quizzes</w:t>
      </w:r>
    </w:p>
    <w:p w14:paraId="1576F13C" w14:textId="77777777" w:rsidR="00304244" w:rsidRDefault="00F11BB5">
      <w:r>
        <w:t>Each module has a MyLab quiz based on materials from the assigned module readings. The quizzes include 15 to 20 multiple-choice, fill-in, and interactive graphing questions.</w:t>
      </w:r>
    </w:p>
    <w:p w14:paraId="0F11397B" w14:textId="704475CF" w:rsidR="00304244" w:rsidRPr="00C0694B" w:rsidRDefault="00F11BB5">
      <w:r w:rsidRPr="00C0694B">
        <w:t xml:space="preserve">Quiz </w:t>
      </w:r>
      <w:r w:rsidR="00C0694B">
        <w:t>operate as follows</w:t>
      </w:r>
      <w:r w:rsidRPr="00C0694B">
        <w:t>:</w:t>
      </w:r>
    </w:p>
    <w:p w14:paraId="22D6DD61" w14:textId="77777777" w:rsidR="00304244" w:rsidRDefault="00F11BB5">
      <w:pPr>
        <w:pStyle w:val="ListBullet"/>
      </w:pPr>
      <w:r>
        <w:t>One attempt per question and one attempt at the quiz.</w:t>
      </w:r>
    </w:p>
    <w:p w14:paraId="27F7A6D6" w14:textId="77777777" w:rsidR="00304244" w:rsidRDefault="00F11BB5">
      <w:pPr>
        <w:pStyle w:val="ListBullet"/>
      </w:pPr>
      <w:r>
        <w:t>There is a 60-minute time limit once you begin the quiz.</w:t>
      </w:r>
    </w:p>
    <w:p w14:paraId="62C815FD" w14:textId="77777777" w:rsidR="00304244" w:rsidRDefault="00F11BB5">
      <w:pPr>
        <w:pStyle w:val="ListBullet"/>
      </w:pPr>
      <w:r>
        <w:t>You can leave the quiz and the timer will stop. When you reenter the quiz, the timer will continue where it left off.</w:t>
      </w:r>
    </w:p>
    <w:p w14:paraId="3100783B" w14:textId="77777777" w:rsidR="00304244" w:rsidRDefault="00F11BB5">
      <w:r w:rsidRPr="00C0694B">
        <w:rPr>
          <w:b/>
        </w:rPr>
        <w:t>Availability and Deadlines:</w:t>
      </w:r>
      <w:r>
        <w:rPr>
          <w:b/>
        </w:rPr>
        <w:t xml:space="preserve"> </w:t>
      </w:r>
      <w:r>
        <w:t>Each module HW and quiz is available at least ten (10) days prior to the due date. Please keep careful track of the module due dates; late assignments are not accepted.</w:t>
      </w:r>
    </w:p>
    <w:p w14:paraId="7A1149CB" w14:textId="77777777" w:rsidR="00304244" w:rsidRPr="00C0694B" w:rsidRDefault="00F11BB5">
      <w:pPr>
        <w:pStyle w:val="Heading2"/>
        <w:rPr>
          <w:color w:val="365F91" w:themeColor="accent1" w:themeShade="BF"/>
        </w:rPr>
      </w:pPr>
      <w:r w:rsidRPr="00C0694B">
        <w:rPr>
          <w:color w:val="365F91" w:themeColor="accent1" w:themeShade="BF"/>
        </w:rPr>
        <w:t>Communication</w:t>
      </w:r>
    </w:p>
    <w:p w14:paraId="0448F333" w14:textId="77777777" w:rsidR="00304244" w:rsidRDefault="00F11BB5">
      <w:r>
        <w:t>The best way to communicate is via the “Questions for the Professor” button in Canvas and via Microsoft Teams office hours listed in Canvas. Please refrain from using email unless the question is personal.</w:t>
      </w:r>
    </w:p>
    <w:p w14:paraId="7DA6A824" w14:textId="77777777" w:rsidR="00304244" w:rsidRPr="00C0694B" w:rsidRDefault="00F11BB5">
      <w:pPr>
        <w:pStyle w:val="Heading2"/>
        <w:rPr>
          <w:color w:val="365F91" w:themeColor="accent1" w:themeShade="BF"/>
        </w:rPr>
      </w:pPr>
      <w:r w:rsidRPr="00C0694B">
        <w:rPr>
          <w:color w:val="365F91" w:themeColor="accent1" w:themeShade="BF"/>
        </w:rPr>
        <w:t>Grading</w:t>
      </w:r>
    </w:p>
    <w:tbl>
      <w:tblPr>
        <w:tblW w:w="0" w:type="auto"/>
        <w:tblLook w:val="04A0" w:firstRow="1" w:lastRow="0" w:firstColumn="1" w:lastColumn="0" w:noHBand="0" w:noVBand="1"/>
      </w:tblPr>
      <w:tblGrid>
        <w:gridCol w:w="4320"/>
        <w:gridCol w:w="4320"/>
      </w:tblGrid>
      <w:tr w:rsidR="00304244" w14:paraId="22D8576F" w14:textId="77777777">
        <w:tc>
          <w:tcPr>
            <w:tcW w:w="4320" w:type="dxa"/>
          </w:tcPr>
          <w:p w14:paraId="7D8D6B41" w14:textId="77777777" w:rsidR="00304244" w:rsidRDefault="00F11BB5">
            <w:r>
              <w:t>Assessment</w:t>
            </w:r>
          </w:p>
        </w:tc>
        <w:tc>
          <w:tcPr>
            <w:tcW w:w="4320" w:type="dxa"/>
          </w:tcPr>
          <w:p w14:paraId="35589852" w14:textId="77777777" w:rsidR="00304244" w:rsidRDefault="00F11BB5">
            <w:r>
              <w:t>Weight</w:t>
            </w:r>
          </w:p>
        </w:tc>
      </w:tr>
      <w:tr w:rsidR="00304244" w14:paraId="64FE4263" w14:textId="77777777">
        <w:tc>
          <w:tcPr>
            <w:tcW w:w="4320" w:type="dxa"/>
          </w:tcPr>
          <w:p w14:paraId="609F0867" w14:textId="77777777" w:rsidR="00304244" w:rsidRDefault="00F11BB5">
            <w:r>
              <w:t>Module Homework (13 assignments)</w:t>
            </w:r>
          </w:p>
        </w:tc>
        <w:tc>
          <w:tcPr>
            <w:tcW w:w="4320" w:type="dxa"/>
          </w:tcPr>
          <w:p w14:paraId="50123168" w14:textId="77777777" w:rsidR="00304244" w:rsidRDefault="00F11BB5">
            <w:r>
              <w:t>40% of course grade (≈ 3.08% each)</w:t>
            </w:r>
          </w:p>
        </w:tc>
      </w:tr>
      <w:tr w:rsidR="00304244" w14:paraId="5781C251" w14:textId="77777777">
        <w:tc>
          <w:tcPr>
            <w:tcW w:w="4320" w:type="dxa"/>
          </w:tcPr>
          <w:p w14:paraId="0945C77B" w14:textId="77777777" w:rsidR="00304244" w:rsidRDefault="00F11BB5">
            <w:r>
              <w:t>Module Quizzes (13 quizzes)</w:t>
            </w:r>
          </w:p>
        </w:tc>
        <w:tc>
          <w:tcPr>
            <w:tcW w:w="4320" w:type="dxa"/>
          </w:tcPr>
          <w:p w14:paraId="5502624B" w14:textId="77777777" w:rsidR="00304244" w:rsidRDefault="00F11BB5">
            <w:r>
              <w:t>60% of course grade (≈ 4.62% each)</w:t>
            </w:r>
          </w:p>
        </w:tc>
      </w:tr>
    </w:tbl>
    <w:p w14:paraId="28088CEC" w14:textId="77777777" w:rsidR="00304244" w:rsidRDefault="00F11BB5">
      <w:r>
        <w:rPr>
          <w:b/>
        </w:rPr>
        <w:t xml:space="preserve">Important: </w:t>
      </w:r>
      <w:r>
        <w:t>No late quizzes or homework are allowed. Missed quizzes and homework will receive a grade of zero.</w:t>
      </w:r>
    </w:p>
    <w:p w14:paraId="6B12F7FF" w14:textId="77777777" w:rsidR="00304244" w:rsidRDefault="00F11BB5">
      <w:r>
        <w:rPr>
          <w:b/>
        </w:rPr>
        <w:t xml:space="preserve">Canvas Totals: </w:t>
      </w:r>
      <w:r>
        <w:t>Depending on how Canvas handles missed/ungraded assignments, the “Totals” columns may or may not be an exact reflection of your course grade to date. The “Totals” are accurate only if missed assignments are treated as zeros.</w:t>
      </w:r>
    </w:p>
    <w:p w14:paraId="51C0EFAA" w14:textId="77777777" w:rsidR="00304244" w:rsidRPr="00C0694B" w:rsidRDefault="00F11BB5">
      <w:pPr>
        <w:pStyle w:val="Heading3"/>
        <w:rPr>
          <w:color w:val="365F91" w:themeColor="accent1" w:themeShade="BF"/>
        </w:rPr>
      </w:pPr>
      <w:r w:rsidRPr="00C0694B">
        <w:rPr>
          <w:color w:val="365F91" w:themeColor="accent1" w:themeShade="BF"/>
        </w:rPr>
        <w:t>Final Letter Grades</w:t>
      </w:r>
    </w:p>
    <w:tbl>
      <w:tblPr>
        <w:tblW w:w="0" w:type="auto"/>
        <w:tblLook w:val="04A0" w:firstRow="1" w:lastRow="0" w:firstColumn="1" w:lastColumn="0" w:noHBand="0" w:noVBand="1"/>
      </w:tblPr>
      <w:tblGrid>
        <w:gridCol w:w="4320"/>
        <w:gridCol w:w="4320"/>
      </w:tblGrid>
      <w:tr w:rsidR="00304244" w14:paraId="10FEAADA" w14:textId="77777777">
        <w:tc>
          <w:tcPr>
            <w:tcW w:w="4320" w:type="dxa"/>
          </w:tcPr>
          <w:p w14:paraId="71B73AAD" w14:textId="77777777" w:rsidR="00304244" w:rsidRDefault="00F11BB5">
            <w:r>
              <w:t>Letter</w:t>
            </w:r>
          </w:p>
        </w:tc>
        <w:tc>
          <w:tcPr>
            <w:tcW w:w="4320" w:type="dxa"/>
          </w:tcPr>
          <w:p w14:paraId="1D52EA99" w14:textId="77777777" w:rsidR="00304244" w:rsidRDefault="00F11BB5">
            <w:r>
              <w:t>Percentage Range</w:t>
            </w:r>
          </w:p>
        </w:tc>
      </w:tr>
      <w:tr w:rsidR="00304244" w14:paraId="0AE7B7FC" w14:textId="77777777">
        <w:tc>
          <w:tcPr>
            <w:tcW w:w="4320" w:type="dxa"/>
          </w:tcPr>
          <w:p w14:paraId="14ED3AAD" w14:textId="77777777" w:rsidR="00304244" w:rsidRDefault="00F11BB5">
            <w:r>
              <w:lastRenderedPageBreak/>
              <w:t>A</w:t>
            </w:r>
          </w:p>
        </w:tc>
        <w:tc>
          <w:tcPr>
            <w:tcW w:w="4320" w:type="dxa"/>
          </w:tcPr>
          <w:p w14:paraId="6BF0AB47" w14:textId="77777777" w:rsidR="00304244" w:rsidRDefault="00F11BB5">
            <w:r>
              <w:t>93% to 100%</w:t>
            </w:r>
          </w:p>
        </w:tc>
      </w:tr>
      <w:tr w:rsidR="00304244" w14:paraId="646634EC" w14:textId="77777777">
        <w:tc>
          <w:tcPr>
            <w:tcW w:w="4320" w:type="dxa"/>
          </w:tcPr>
          <w:p w14:paraId="7689F551" w14:textId="77777777" w:rsidR="00304244" w:rsidRDefault="00F11BB5">
            <w:r>
              <w:t>A-</w:t>
            </w:r>
          </w:p>
        </w:tc>
        <w:tc>
          <w:tcPr>
            <w:tcW w:w="4320" w:type="dxa"/>
          </w:tcPr>
          <w:p w14:paraId="25951C2A" w14:textId="77777777" w:rsidR="00304244" w:rsidRDefault="00F11BB5">
            <w:r>
              <w:t>90% to 92.99%</w:t>
            </w:r>
          </w:p>
        </w:tc>
      </w:tr>
      <w:tr w:rsidR="00304244" w14:paraId="670D8CD9" w14:textId="77777777">
        <w:tc>
          <w:tcPr>
            <w:tcW w:w="4320" w:type="dxa"/>
          </w:tcPr>
          <w:p w14:paraId="40092E61" w14:textId="77777777" w:rsidR="00304244" w:rsidRDefault="00F11BB5">
            <w:r>
              <w:t>B+</w:t>
            </w:r>
          </w:p>
        </w:tc>
        <w:tc>
          <w:tcPr>
            <w:tcW w:w="4320" w:type="dxa"/>
          </w:tcPr>
          <w:p w14:paraId="3B45279D" w14:textId="77777777" w:rsidR="00304244" w:rsidRDefault="00F11BB5">
            <w:r>
              <w:t>87% to 89.99%</w:t>
            </w:r>
          </w:p>
        </w:tc>
      </w:tr>
      <w:tr w:rsidR="00304244" w14:paraId="6338099C" w14:textId="77777777">
        <w:tc>
          <w:tcPr>
            <w:tcW w:w="4320" w:type="dxa"/>
          </w:tcPr>
          <w:p w14:paraId="0DE1405E" w14:textId="77777777" w:rsidR="00304244" w:rsidRDefault="00F11BB5">
            <w:r>
              <w:t>B</w:t>
            </w:r>
          </w:p>
        </w:tc>
        <w:tc>
          <w:tcPr>
            <w:tcW w:w="4320" w:type="dxa"/>
          </w:tcPr>
          <w:p w14:paraId="156F2055" w14:textId="77777777" w:rsidR="00304244" w:rsidRDefault="00F11BB5">
            <w:r>
              <w:t>83% to 86.99%</w:t>
            </w:r>
          </w:p>
        </w:tc>
      </w:tr>
      <w:tr w:rsidR="00304244" w14:paraId="29397335" w14:textId="77777777">
        <w:tc>
          <w:tcPr>
            <w:tcW w:w="4320" w:type="dxa"/>
          </w:tcPr>
          <w:p w14:paraId="77D5905E" w14:textId="77777777" w:rsidR="00304244" w:rsidRDefault="00F11BB5">
            <w:r>
              <w:t>B-</w:t>
            </w:r>
          </w:p>
        </w:tc>
        <w:tc>
          <w:tcPr>
            <w:tcW w:w="4320" w:type="dxa"/>
          </w:tcPr>
          <w:p w14:paraId="5710592A" w14:textId="77777777" w:rsidR="00304244" w:rsidRDefault="00F11BB5">
            <w:r>
              <w:t>80% to 82.99%</w:t>
            </w:r>
          </w:p>
        </w:tc>
      </w:tr>
      <w:tr w:rsidR="00304244" w14:paraId="2ADE536F" w14:textId="77777777">
        <w:tc>
          <w:tcPr>
            <w:tcW w:w="4320" w:type="dxa"/>
          </w:tcPr>
          <w:p w14:paraId="1C056EA8" w14:textId="77777777" w:rsidR="00304244" w:rsidRDefault="00F11BB5">
            <w:r>
              <w:t>C+</w:t>
            </w:r>
          </w:p>
        </w:tc>
        <w:tc>
          <w:tcPr>
            <w:tcW w:w="4320" w:type="dxa"/>
          </w:tcPr>
          <w:p w14:paraId="1772D191" w14:textId="77777777" w:rsidR="00304244" w:rsidRDefault="00F11BB5">
            <w:r>
              <w:t>77% to 79.99%</w:t>
            </w:r>
          </w:p>
        </w:tc>
      </w:tr>
      <w:tr w:rsidR="00304244" w14:paraId="052C367B" w14:textId="77777777">
        <w:tc>
          <w:tcPr>
            <w:tcW w:w="4320" w:type="dxa"/>
          </w:tcPr>
          <w:p w14:paraId="2E33A629" w14:textId="77777777" w:rsidR="00304244" w:rsidRDefault="00F11BB5">
            <w:r>
              <w:t>C</w:t>
            </w:r>
          </w:p>
        </w:tc>
        <w:tc>
          <w:tcPr>
            <w:tcW w:w="4320" w:type="dxa"/>
          </w:tcPr>
          <w:p w14:paraId="0E7A4EC3" w14:textId="77777777" w:rsidR="00304244" w:rsidRDefault="00F11BB5">
            <w:r>
              <w:t>73% to 76.99%</w:t>
            </w:r>
          </w:p>
        </w:tc>
      </w:tr>
      <w:tr w:rsidR="00304244" w14:paraId="6F834F24" w14:textId="77777777">
        <w:tc>
          <w:tcPr>
            <w:tcW w:w="4320" w:type="dxa"/>
          </w:tcPr>
          <w:p w14:paraId="0C32C389" w14:textId="77777777" w:rsidR="00304244" w:rsidRDefault="00F11BB5">
            <w:r>
              <w:t>C-</w:t>
            </w:r>
          </w:p>
        </w:tc>
        <w:tc>
          <w:tcPr>
            <w:tcW w:w="4320" w:type="dxa"/>
          </w:tcPr>
          <w:p w14:paraId="128410C0" w14:textId="77777777" w:rsidR="00304244" w:rsidRDefault="00F11BB5">
            <w:r>
              <w:t>70% to 72.99%</w:t>
            </w:r>
          </w:p>
        </w:tc>
      </w:tr>
      <w:tr w:rsidR="00304244" w14:paraId="2C5099A0" w14:textId="77777777">
        <w:tc>
          <w:tcPr>
            <w:tcW w:w="4320" w:type="dxa"/>
          </w:tcPr>
          <w:p w14:paraId="1B801D87" w14:textId="77777777" w:rsidR="00304244" w:rsidRDefault="00F11BB5">
            <w:r>
              <w:t>D+</w:t>
            </w:r>
          </w:p>
        </w:tc>
        <w:tc>
          <w:tcPr>
            <w:tcW w:w="4320" w:type="dxa"/>
          </w:tcPr>
          <w:p w14:paraId="1CF98ADA" w14:textId="77777777" w:rsidR="00304244" w:rsidRDefault="00F11BB5">
            <w:r>
              <w:t>66% to 69.99%</w:t>
            </w:r>
          </w:p>
        </w:tc>
      </w:tr>
      <w:tr w:rsidR="00304244" w14:paraId="004E727C" w14:textId="77777777">
        <w:tc>
          <w:tcPr>
            <w:tcW w:w="4320" w:type="dxa"/>
          </w:tcPr>
          <w:p w14:paraId="2B224D18" w14:textId="77777777" w:rsidR="00304244" w:rsidRDefault="00F11BB5">
            <w:r>
              <w:t>D</w:t>
            </w:r>
          </w:p>
        </w:tc>
        <w:tc>
          <w:tcPr>
            <w:tcW w:w="4320" w:type="dxa"/>
          </w:tcPr>
          <w:p w14:paraId="5DF44D83" w14:textId="77777777" w:rsidR="00304244" w:rsidRDefault="00F11BB5">
            <w:r>
              <w:t>63% to 65.99%</w:t>
            </w:r>
          </w:p>
        </w:tc>
      </w:tr>
      <w:tr w:rsidR="00304244" w14:paraId="6B955ADC" w14:textId="77777777">
        <w:tc>
          <w:tcPr>
            <w:tcW w:w="4320" w:type="dxa"/>
          </w:tcPr>
          <w:p w14:paraId="5C8AB4FE" w14:textId="77777777" w:rsidR="00304244" w:rsidRDefault="00F11BB5">
            <w:r>
              <w:t>D-</w:t>
            </w:r>
          </w:p>
        </w:tc>
        <w:tc>
          <w:tcPr>
            <w:tcW w:w="4320" w:type="dxa"/>
          </w:tcPr>
          <w:p w14:paraId="504E6C16" w14:textId="77777777" w:rsidR="00304244" w:rsidRDefault="00F11BB5">
            <w:r>
              <w:t>60% to 62.99%</w:t>
            </w:r>
          </w:p>
        </w:tc>
      </w:tr>
      <w:tr w:rsidR="00304244" w14:paraId="105F49C7" w14:textId="77777777">
        <w:tc>
          <w:tcPr>
            <w:tcW w:w="4320" w:type="dxa"/>
          </w:tcPr>
          <w:p w14:paraId="5BCBA614" w14:textId="77777777" w:rsidR="00304244" w:rsidRDefault="00F11BB5">
            <w:r>
              <w:t>F</w:t>
            </w:r>
          </w:p>
        </w:tc>
        <w:tc>
          <w:tcPr>
            <w:tcW w:w="4320" w:type="dxa"/>
          </w:tcPr>
          <w:p w14:paraId="2EAF265B" w14:textId="77777777" w:rsidR="00304244" w:rsidRDefault="00F11BB5">
            <w:r>
              <w:t>Below 60%</w:t>
            </w:r>
          </w:p>
        </w:tc>
      </w:tr>
      <w:tr w:rsidR="00304244" w14:paraId="6CA6AF0C" w14:textId="77777777">
        <w:tc>
          <w:tcPr>
            <w:tcW w:w="4320" w:type="dxa"/>
          </w:tcPr>
          <w:p w14:paraId="329E0D2B" w14:textId="77777777" w:rsidR="00304244" w:rsidRDefault="00304244"/>
        </w:tc>
        <w:tc>
          <w:tcPr>
            <w:tcW w:w="4320" w:type="dxa"/>
          </w:tcPr>
          <w:p w14:paraId="746BF519" w14:textId="77777777" w:rsidR="00304244" w:rsidRDefault="00304244"/>
        </w:tc>
      </w:tr>
    </w:tbl>
    <w:p w14:paraId="51966003" w14:textId="77777777" w:rsidR="00304244" w:rsidRDefault="00F11BB5">
      <w:r>
        <w:t>Grades are not rounded. For example, an average of 89.999% is a B+; an average of 90.001% is an A-.</w:t>
      </w:r>
    </w:p>
    <w:p w14:paraId="10EE2849" w14:textId="77777777" w:rsidR="00304244" w:rsidRPr="00C0694B" w:rsidRDefault="00F11BB5">
      <w:pPr>
        <w:pStyle w:val="Heading2"/>
        <w:rPr>
          <w:color w:val="365F91" w:themeColor="accent1" w:themeShade="BF"/>
        </w:rPr>
      </w:pPr>
      <w:r w:rsidRPr="00C0694B">
        <w:rPr>
          <w:color w:val="365F91" w:themeColor="accent1" w:themeShade="BF"/>
        </w:rPr>
        <w:t>Due Dates and Elasticity Statement</w:t>
      </w:r>
    </w:p>
    <w:p w14:paraId="1B8C4027" w14:textId="77777777" w:rsidR="00304244" w:rsidRDefault="00F11BB5">
      <w:r>
        <w:t>All due dates for the course are listed in Canvas. Due dates are subject to change in the event of an extenuating circumstance that impacts the entire class. Should such a change be necessary, it will be posted as an announcement in Canvas.</w:t>
      </w:r>
    </w:p>
    <w:p w14:paraId="6E85E484" w14:textId="77777777" w:rsidR="00304244" w:rsidRPr="00C0694B" w:rsidRDefault="00F11BB5">
      <w:pPr>
        <w:pStyle w:val="Heading2"/>
        <w:rPr>
          <w:color w:val="365F91" w:themeColor="accent1" w:themeShade="BF"/>
        </w:rPr>
      </w:pPr>
      <w:r w:rsidRPr="00C0694B">
        <w:rPr>
          <w:color w:val="365F91" w:themeColor="accent1" w:themeShade="BF"/>
        </w:rPr>
        <w:t>Policies</w:t>
      </w:r>
    </w:p>
    <w:p w14:paraId="219C9FAE" w14:textId="77777777" w:rsidR="00304244" w:rsidRPr="00C0694B" w:rsidRDefault="00F11BB5">
      <w:pPr>
        <w:pStyle w:val="Heading3"/>
        <w:rPr>
          <w:color w:val="365F91" w:themeColor="accent1" w:themeShade="BF"/>
        </w:rPr>
      </w:pPr>
      <w:r w:rsidRPr="00C0694B">
        <w:rPr>
          <w:color w:val="365F91" w:themeColor="accent1" w:themeShade="BF"/>
        </w:rPr>
        <w:t>Academic Integrity Policy</w:t>
      </w:r>
    </w:p>
    <w:p w14:paraId="10A69647" w14:textId="77777777" w:rsidR="00304244" w:rsidRDefault="00F11BB5">
      <w:r>
        <w:t xml:space="preserve">By submitting an assignment, each student acknowledges their understanding and commitment to the Academic Integrity Policy on all major work for the course. See: </w:t>
      </w:r>
      <w:hyperlink r:id="rId10">
        <w:r w:rsidR="00304244">
          <w:t>UNCG Academic Integrity Policy</w:t>
        </w:r>
      </w:hyperlink>
    </w:p>
    <w:p w14:paraId="61DFE0E1" w14:textId="77777777" w:rsidR="00304244" w:rsidRPr="00C0694B" w:rsidRDefault="00F11BB5">
      <w:pPr>
        <w:pStyle w:val="Heading3"/>
        <w:rPr>
          <w:color w:val="365F91" w:themeColor="accent1" w:themeShade="BF"/>
        </w:rPr>
      </w:pPr>
      <w:r w:rsidRPr="00C0694B">
        <w:rPr>
          <w:color w:val="365F91" w:themeColor="accent1" w:themeShade="BF"/>
        </w:rPr>
        <w:t>Accommodations / ADA Statement</w:t>
      </w:r>
    </w:p>
    <w:p w14:paraId="64C315B1" w14:textId="77777777" w:rsidR="00304244" w:rsidRDefault="00F11BB5">
      <w:r>
        <w:t xml:space="preserve">UNCG seeks to comply fully with the Americans with Disabilities Act (ADA). Students requesting accommodations based on a disability must connect with the Office of </w:t>
      </w:r>
      <w:r>
        <w:lastRenderedPageBreak/>
        <w:t xml:space="preserve">Accessibility Resources and Services (OARS), 215 Elliott University Center, (336) 334-5440, </w:t>
      </w:r>
      <w:hyperlink r:id="rId11">
        <w:r w:rsidR="00304244">
          <w:t>oars.uncg.edu</w:t>
        </w:r>
      </w:hyperlink>
    </w:p>
    <w:p w14:paraId="2B240E1B" w14:textId="77777777" w:rsidR="00304244" w:rsidRPr="00C0694B" w:rsidRDefault="00F11BB5">
      <w:pPr>
        <w:pStyle w:val="Heading3"/>
        <w:rPr>
          <w:color w:val="365F91" w:themeColor="accent1" w:themeShade="BF"/>
        </w:rPr>
      </w:pPr>
      <w:r w:rsidRPr="00C0694B">
        <w:rPr>
          <w:color w:val="365F91" w:themeColor="accent1" w:themeShade="BF"/>
        </w:rPr>
        <w:t>Religious Obligations Statement</w:t>
      </w:r>
    </w:p>
    <w:p w14:paraId="213DDD61" w14:textId="77777777" w:rsidR="00304244" w:rsidRDefault="00F11BB5">
      <w:r>
        <w:t xml:space="preserve">Should an exam fall on a day that a student has a religious obligation, the exam will be rescheduled for that student provided at least 48 hours’ advance written notice is provided. For more information on UNCG’s Religious Observations policy, visit: </w:t>
      </w:r>
      <w:hyperlink r:id="rId12">
        <w:r w:rsidR="00304244">
          <w:t>UNCG Religious Observation Policies</w:t>
        </w:r>
      </w:hyperlink>
    </w:p>
    <w:p w14:paraId="5D629539" w14:textId="77777777" w:rsidR="00304244" w:rsidRPr="00C0694B" w:rsidRDefault="00F11BB5">
      <w:pPr>
        <w:pStyle w:val="Heading3"/>
        <w:rPr>
          <w:color w:val="365F91" w:themeColor="accent1" w:themeShade="BF"/>
        </w:rPr>
      </w:pPr>
      <w:r w:rsidRPr="00C0694B">
        <w:rPr>
          <w:color w:val="365F91" w:themeColor="accent1" w:themeShade="BF"/>
        </w:rPr>
        <w:t>Attendance Policy for University-Sponsored Events</w:t>
      </w:r>
    </w:p>
    <w:p w14:paraId="2A039462" w14:textId="77777777" w:rsidR="00304244" w:rsidRDefault="00F11BB5">
      <w:pPr>
        <w:pStyle w:val="ListBullet"/>
      </w:pPr>
      <w:r>
        <w:t>Notify the instructor(s) at least five class days in advance.</w:t>
      </w:r>
    </w:p>
    <w:p w14:paraId="666043EC" w14:textId="77777777" w:rsidR="00304244" w:rsidRDefault="00F11BB5">
      <w:pPr>
        <w:pStyle w:val="ListBullet"/>
      </w:pPr>
      <w:r>
        <w:t>Arrange to complete all missed work in advance of the absence whenever practicable as judged by the instructor(s). When missed work cannot be completed in advance, the instructor(s) should provide students with the opportunity to make up the work.</w:t>
      </w:r>
    </w:p>
    <w:p w14:paraId="161AAA26" w14:textId="77777777" w:rsidR="00304244" w:rsidRDefault="00F11BB5">
      <w:pPr>
        <w:pStyle w:val="ListBullet"/>
      </w:pPr>
      <w:r>
        <w:t>Present relevant documentation of participation in a relevant University-sponsored activity to the instructor(s) upon request.</w:t>
      </w:r>
    </w:p>
    <w:p w14:paraId="17FE3F7C" w14:textId="77777777" w:rsidR="00304244" w:rsidRDefault="00F11BB5">
      <w:r>
        <w:t>Students who expect to miss more than three class meetings of any single course in a term, or more than two consecutive meetings of a laboratory course to participate in University-sponsored activities, should inform the instructor at the beginning of the course. If reasonable accommodations for make-up work cannot be made, the student may be advised to drop the course.</w:t>
      </w:r>
    </w:p>
    <w:p w14:paraId="0FD63D0F" w14:textId="77777777" w:rsidR="00304244" w:rsidRPr="00C0694B" w:rsidRDefault="00F11BB5">
      <w:pPr>
        <w:pStyle w:val="Heading3"/>
        <w:rPr>
          <w:color w:val="365F91" w:themeColor="accent1" w:themeShade="BF"/>
        </w:rPr>
      </w:pPr>
      <w:r w:rsidRPr="00C0694B">
        <w:rPr>
          <w:color w:val="365F91" w:themeColor="accent1" w:themeShade="BF"/>
        </w:rPr>
        <w:t>Faculty and Student Guidelines</w:t>
      </w:r>
    </w:p>
    <w:p w14:paraId="28F12717" w14:textId="77777777" w:rsidR="00304244" w:rsidRDefault="00F11BB5">
      <w:r>
        <w:t xml:space="preserve">Please familiarize yourself with the Bryan School’s Faculty and Student Guidelines. These guidelines establish principles and expectations for the administration, faculty, staff, and students of the Bryan School of Business and Economics. Link: </w:t>
      </w:r>
      <w:hyperlink r:id="rId13">
        <w:r w:rsidR="00304244">
          <w:t>UNCG Bryan School Faculty and Student Guidelines</w:t>
        </w:r>
      </w:hyperlink>
    </w:p>
    <w:p w14:paraId="46757180" w14:textId="77777777" w:rsidR="00304244" w:rsidRPr="00C0694B" w:rsidRDefault="00F11BB5">
      <w:pPr>
        <w:pStyle w:val="Heading3"/>
        <w:rPr>
          <w:color w:val="365F91" w:themeColor="accent1" w:themeShade="BF"/>
        </w:rPr>
      </w:pPr>
      <w:r w:rsidRPr="00C0694B">
        <w:rPr>
          <w:color w:val="365F91" w:themeColor="accent1" w:themeShade="BF"/>
        </w:rPr>
        <w:t>ECO 300 and MGT 301 Similarities</w:t>
      </w:r>
    </w:p>
    <w:p w14:paraId="229014AB" w14:textId="77777777" w:rsidR="00304244" w:rsidRDefault="00F11BB5">
      <w:r>
        <w:t>Certain topics and course content appear in both the ECO 300 and MGT 301 syllabi. This replication of topics is meant to build your knowledge, understanding, and analysis of the important global issues facing economic policy makers in ECO 300 and business managers in MGT 301.</w:t>
      </w:r>
    </w:p>
    <w:p w14:paraId="0C759D72" w14:textId="77777777" w:rsidR="00304244" w:rsidRPr="00C0694B" w:rsidRDefault="00F11BB5">
      <w:pPr>
        <w:pStyle w:val="Heading3"/>
        <w:rPr>
          <w:color w:val="365F91" w:themeColor="accent1" w:themeShade="BF"/>
        </w:rPr>
      </w:pPr>
      <w:r w:rsidRPr="00C0694B">
        <w:rPr>
          <w:color w:val="365F91" w:themeColor="accent1" w:themeShade="BF"/>
        </w:rPr>
        <w:t>The Bryan School of Business and Economics’ Mission Statement</w:t>
      </w:r>
    </w:p>
    <w:p w14:paraId="1725D02B" w14:textId="77777777" w:rsidR="00304244" w:rsidRDefault="00F11BB5">
      <w:r>
        <w:t xml:space="preserve">In the Bryan School of Business and Economics, we create and disseminate knowledge about the theory and practice of business. In addition to our courses and research, we accomplish this through hands-on projects, global experiences, and outreach to the </w:t>
      </w:r>
      <w:r>
        <w:lastRenderedPageBreak/>
        <w:t>community. Our work produces principled leaders and exceptional problem solvers who have a global perspective, an innovative mindset, a broad understanding of sustainability, and a commitment to improve the organizations in which they work and the communities in which they live.</w:t>
      </w:r>
    </w:p>
    <w:p w14:paraId="20AFCC7A" w14:textId="77777777" w:rsidR="00304244" w:rsidRPr="00C0694B" w:rsidRDefault="00F11BB5">
      <w:pPr>
        <w:pStyle w:val="Heading3"/>
        <w:rPr>
          <w:color w:val="365F91" w:themeColor="accent1" w:themeShade="BF"/>
        </w:rPr>
      </w:pPr>
      <w:r w:rsidRPr="00C0694B">
        <w:rPr>
          <w:color w:val="365F91" w:themeColor="accent1" w:themeShade="BF"/>
        </w:rPr>
        <w:t>Student Learning Goals (Bryan School)</w:t>
      </w:r>
    </w:p>
    <w:p w14:paraId="13442968" w14:textId="77777777" w:rsidR="00304244" w:rsidRDefault="00F11BB5" w:rsidP="00C0694B">
      <w:pPr>
        <w:pStyle w:val="ListBullet"/>
        <w:numPr>
          <w:ilvl w:val="0"/>
          <w:numId w:val="10"/>
        </w:numPr>
      </w:pPr>
      <w:r>
        <w:t>Implement the various steps of the critical-thinking process, supported by the appropriate use of analytical and quantitative techniques, to formulate recommendations for subsequent decision making.</w:t>
      </w:r>
    </w:p>
    <w:p w14:paraId="38F54064" w14:textId="77777777" w:rsidR="00304244" w:rsidRDefault="00F11BB5" w:rsidP="00C0694B">
      <w:pPr>
        <w:pStyle w:val="ListBullet"/>
        <w:numPr>
          <w:ilvl w:val="0"/>
          <w:numId w:val="10"/>
        </w:numPr>
      </w:pPr>
      <w:r>
        <w:t>Apply appropriate ethical standards when making recommendations for business decision making.</w:t>
      </w:r>
    </w:p>
    <w:p w14:paraId="33B40C5A" w14:textId="77777777" w:rsidR="00304244" w:rsidRDefault="00F11BB5" w:rsidP="00C0694B">
      <w:pPr>
        <w:pStyle w:val="ListBullet"/>
        <w:numPr>
          <w:ilvl w:val="0"/>
          <w:numId w:val="10"/>
        </w:numPr>
      </w:pPr>
      <w:r>
        <w:t>Evaluate business decisions in the context of sustainability goals, balancing environmental, social, and economic needs, conditions, and potential decision impacts.</w:t>
      </w:r>
    </w:p>
    <w:p w14:paraId="1D4AB23D" w14:textId="77777777" w:rsidR="00304244" w:rsidRDefault="00F11BB5" w:rsidP="00C0694B">
      <w:pPr>
        <w:pStyle w:val="ListBullet"/>
        <w:numPr>
          <w:ilvl w:val="0"/>
          <w:numId w:val="10"/>
        </w:numPr>
      </w:pPr>
      <w:r>
        <w:t>Formulate appropriate strategies, in the context of global issues and forces, to improve business performance in the world economy.</w:t>
      </w:r>
    </w:p>
    <w:p w14:paraId="55A483F5" w14:textId="77777777" w:rsidR="00304244" w:rsidRDefault="00F11BB5" w:rsidP="00C0694B">
      <w:pPr>
        <w:pStyle w:val="ListBullet"/>
        <w:numPr>
          <w:ilvl w:val="0"/>
          <w:numId w:val="10"/>
        </w:numPr>
      </w:pPr>
      <w:r>
        <w:t>Explain the roles of innovation and innovation management in achieving successful business strategies, decisions, and performance.</w:t>
      </w:r>
    </w:p>
    <w:p w14:paraId="236737E1" w14:textId="77777777" w:rsidR="00304244" w:rsidRDefault="00F11BB5" w:rsidP="00C0694B">
      <w:pPr>
        <w:pStyle w:val="ListBullet"/>
        <w:numPr>
          <w:ilvl w:val="0"/>
          <w:numId w:val="10"/>
        </w:numPr>
      </w:pPr>
      <w:r>
        <w:t>Plan, schedule, contribute to, and lead projects.</w:t>
      </w:r>
    </w:p>
    <w:p w14:paraId="49D77F77" w14:textId="77777777" w:rsidR="00304244" w:rsidRPr="00C0694B" w:rsidRDefault="00F11BB5">
      <w:pPr>
        <w:pStyle w:val="Heading3"/>
        <w:rPr>
          <w:color w:val="365F91" w:themeColor="accent1" w:themeShade="BF"/>
        </w:rPr>
      </w:pPr>
      <w:r w:rsidRPr="00C0694B">
        <w:rPr>
          <w:color w:val="365F91" w:themeColor="accent1" w:themeShade="BF"/>
        </w:rPr>
        <w:t>Impact of this Course on Program Student Learning Goals</w:t>
      </w:r>
    </w:p>
    <w:p w14:paraId="6B41D211" w14:textId="77777777" w:rsidR="00304244" w:rsidRDefault="00F11BB5">
      <w:r>
        <w:t>Upon successful completion of ECO 300, students will have developed competencies toward Learning Goals #1, #2, #3, #4, and #5.</w:t>
      </w:r>
    </w:p>
    <w:p w14:paraId="5724CE36" w14:textId="77777777" w:rsidR="00304244" w:rsidRPr="00C0694B" w:rsidRDefault="00F11BB5">
      <w:pPr>
        <w:pStyle w:val="Heading3"/>
        <w:rPr>
          <w:color w:val="365F91" w:themeColor="accent1" w:themeShade="BF"/>
        </w:rPr>
      </w:pPr>
      <w:r w:rsidRPr="00C0694B">
        <w:rPr>
          <w:color w:val="365F91" w:themeColor="accent1" w:themeShade="BF"/>
        </w:rPr>
        <w:t>Health and Well-Being Statement</w:t>
      </w:r>
    </w:p>
    <w:p w14:paraId="3A07C728" w14:textId="77777777" w:rsidR="00304244" w:rsidRDefault="00F11BB5">
      <w:r>
        <w:t>Health and well-being impact learning and academic success. During your time at the university, you may experience concerns that can create barriers to academic success, including illnesses, strained relationships, anxiety, stress, substance use, depressed mood, or loss of motivation. Student Health Services and The Counseling Center can help.</w:t>
      </w:r>
    </w:p>
    <w:p w14:paraId="577025B1" w14:textId="77777777" w:rsidR="00304244" w:rsidRDefault="00F11BB5">
      <w:r>
        <w:t xml:space="preserve">You can learn about the free, confidential mental health services available on campus by calling (336) 334-5874, visiting the website: </w:t>
      </w:r>
      <w:hyperlink r:id="rId14">
        <w:r w:rsidR="00304244">
          <w:t>UNCG Student Health Services</w:t>
        </w:r>
      </w:hyperlink>
    </w:p>
    <w:p w14:paraId="0462E12E" w14:textId="77777777" w:rsidR="00304244" w:rsidRDefault="00F11BB5">
      <w:r>
        <w:t xml:space="preserve">For undergraduate or graduate students in recovery from alcohol and other drug addiction, the Spartan Recovery Program (SRP) offers recovery support services. Contact: </w:t>
      </w:r>
      <w:hyperlink r:id="rId15">
        <w:r w:rsidR="00304244">
          <w:t>recovery@uncg.edu</w:t>
        </w:r>
      </w:hyperlink>
    </w:p>
    <w:p w14:paraId="60654813" w14:textId="77777777" w:rsidR="00304244" w:rsidRPr="00C0694B" w:rsidRDefault="00F11BB5">
      <w:pPr>
        <w:pStyle w:val="Heading3"/>
        <w:rPr>
          <w:color w:val="365F91" w:themeColor="accent1" w:themeShade="BF"/>
        </w:rPr>
      </w:pPr>
      <w:r w:rsidRPr="00C0694B">
        <w:rPr>
          <w:color w:val="365F91" w:themeColor="accent1" w:themeShade="BF"/>
        </w:rPr>
        <w:lastRenderedPageBreak/>
        <w:t>Policy Strictly Prohibiting Generative AI Use</w:t>
      </w:r>
    </w:p>
    <w:p w14:paraId="288ADABE" w14:textId="77777777" w:rsidR="00304244" w:rsidRDefault="00F11BB5">
      <w:r>
        <w:t>ECO 300 forbids the use of generative artificial intelligence (GAI) tools at all stages of the work process, including all homework and quizzes assigned. Violations of this policy will be considered violations of the Academic Integrity policy.</w:t>
      </w:r>
    </w:p>
    <w:sectPr w:rsidR="0030424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3935B11"/>
    <w:multiLevelType w:val="hybridMultilevel"/>
    <w:tmpl w:val="E0A009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73376458">
    <w:abstractNumId w:val="8"/>
  </w:num>
  <w:num w:numId="2" w16cid:durableId="873732814">
    <w:abstractNumId w:val="6"/>
  </w:num>
  <w:num w:numId="3" w16cid:durableId="1713335874">
    <w:abstractNumId w:val="5"/>
  </w:num>
  <w:num w:numId="4" w16cid:durableId="1363941084">
    <w:abstractNumId w:val="4"/>
  </w:num>
  <w:num w:numId="5" w16cid:durableId="612171813">
    <w:abstractNumId w:val="7"/>
  </w:num>
  <w:num w:numId="6" w16cid:durableId="1715082937">
    <w:abstractNumId w:val="3"/>
  </w:num>
  <w:num w:numId="7" w16cid:durableId="379549510">
    <w:abstractNumId w:val="2"/>
  </w:num>
  <w:num w:numId="8" w16cid:durableId="1442728354">
    <w:abstractNumId w:val="1"/>
  </w:num>
  <w:num w:numId="9" w16cid:durableId="1382822981">
    <w:abstractNumId w:val="0"/>
  </w:num>
  <w:num w:numId="10" w16cid:durableId="11025302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04244"/>
    <w:rsid w:val="00326F90"/>
    <w:rsid w:val="005446DD"/>
    <w:rsid w:val="00AA1D8D"/>
    <w:rsid w:val="00B47730"/>
    <w:rsid w:val="00C0694B"/>
    <w:rsid w:val="00CB0664"/>
    <w:rsid w:val="00D849C6"/>
    <w:rsid w:val="00F11BB5"/>
    <w:rsid w:val="00F47058"/>
    <w:rsid w:val="00FC693F"/>
    <w:rsid w:val="00FF1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7635B0"/>
  <w14:defaultImageDpi w14:val="300"/>
  <w15:docId w15:val="{09908152-325D-4E4D-90E3-F3A448D5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cg.edu/bae/faculty_student_guideline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talog.uncg.edu/academic-regulations-policies/university-poli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ars.uncg.edu/" TargetMode="External"/><Relationship Id="rId5" Type="http://schemas.openxmlformats.org/officeDocument/2006/relationships/numbering" Target="numbering.xml"/><Relationship Id="rId15" Type="http://schemas.openxmlformats.org/officeDocument/2006/relationships/hyperlink" Target="mailto:recovery@uncg.edu" TargetMode="External"/><Relationship Id="rId10" Type="http://schemas.openxmlformats.org/officeDocument/2006/relationships/hyperlink" Target="https://osrr.uncg.edu/academic-integrity/" TargetMode="External"/><Relationship Id="rId4" Type="http://schemas.openxmlformats.org/officeDocument/2006/relationships/customXml" Target="../customXml/item4.xml"/><Relationship Id="rId9" Type="http://schemas.openxmlformats.org/officeDocument/2006/relationships/hyperlink" Target="mailto:jksarbau@uncg.edu" TargetMode="External"/><Relationship Id="rId14" Type="http://schemas.openxmlformats.org/officeDocument/2006/relationships/hyperlink" Target="https://shs.uncg.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95F020A909894EA92FCE9EC2F909C0" ma:contentTypeVersion="9" ma:contentTypeDescription="Create a new document." ma:contentTypeScope="" ma:versionID="e8666d6ca3871a5cf097fb16990920d6">
  <xsd:schema xmlns:xsd="http://www.w3.org/2001/XMLSchema" xmlns:xs="http://www.w3.org/2001/XMLSchema" xmlns:p="http://schemas.microsoft.com/office/2006/metadata/properties" xmlns:ns1="http://schemas.microsoft.com/sharepoint/v3" xmlns:ns2="5594bd82-14d3-4e69-bdcd-449fbe0b665f" targetNamespace="http://schemas.microsoft.com/office/2006/metadata/properties" ma:root="true" ma:fieldsID="b1506ffc78dbf22e3ebb7b2338a4fc34" ns1:_="" ns2:_="">
    <xsd:import namespace="http://schemas.microsoft.com/sharepoint/v3"/>
    <xsd:import namespace="5594bd82-14d3-4e69-bdcd-449fbe0b665f"/>
    <xsd:element name="properties">
      <xsd:complexType>
        <xsd:sequence>
          <xsd:element name="documentManagement">
            <xsd:complexType>
              <xsd:all>
                <xsd:element ref="ns2:DocumentType"/>
                <xsd:element ref="ns2:ReviewPeriod"/>
                <xsd:element ref="ns2:MediaServiceMetadata" minOccurs="0"/>
                <xsd:element ref="ns2:MediaServiceFastMetadata" minOccurs="0"/>
                <xsd:element ref="ns2:MediaServiceSearchProperties" minOccurs="0"/>
                <xsd:element ref="ns2:Statu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94bd82-14d3-4e69-bdcd-449fbe0b665f" elementFormDefault="qualified">
    <xsd:import namespace="http://schemas.microsoft.com/office/2006/documentManagement/types"/>
    <xsd:import namespace="http://schemas.microsoft.com/office/infopath/2007/PartnerControls"/>
    <xsd:element name="DocumentType" ma:index="8" ma:displayName="Document Type" ma:default="Evaluation" ma:format="RadioButtons" ma:internalName="DocumentType">
      <xsd:simpleType>
        <xsd:union memberTypes="dms:Text">
          <xsd:simpleType>
            <xsd:restriction base="dms:Choice">
              <xsd:enumeration value="CV"/>
              <xsd:enumeration value="Evaluation"/>
              <xsd:enumeration value="Tenure Packet"/>
              <xsd:enumeration value="Search Committee Materials"/>
              <xsd:enumeration value="Teaching Statement"/>
              <xsd:enumeration value="Research Statement"/>
              <xsd:enumeration value="Other"/>
              <xsd:enumeration value="Letter of Recommendation"/>
            </xsd:restriction>
          </xsd:simpleType>
        </xsd:union>
      </xsd:simpleType>
    </xsd:element>
    <xsd:element name="ReviewPeriod" ma:index="9" ma:displayName="Review Period" ma:default="2025 - 2026" ma:format="Dropdown" ma:internalName="ReviewPeriod">
      <xsd:simpleType>
        <xsd:union memberTypes="dms:Text">
          <xsd:simpleType>
            <xsd:restriction base="dms:Choice">
              <xsd:enumeration value="2025 - 2026"/>
              <xsd:enumeration value="2024 - 2025"/>
              <xsd:enumeration value="2023 - 2024"/>
              <xsd:enumeration value="2022 - 2023"/>
              <xsd:enumeration value="2021 - 2022"/>
              <xsd:enumeration value="2020 - 2021"/>
              <xsd:enumeration value="2019 - 2020"/>
              <xsd:enumeration value="other"/>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Status" ma:index="13" nillable="true" ma:displayName="Status" ma:format="Dropdown" ma:internalName="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tatus xmlns="5594bd82-14d3-4e69-bdcd-449fbe0b665f" xsi:nil="true"/>
    <_ip_UnifiedCompliancePolicyProperties xmlns="http://schemas.microsoft.com/sharepoint/v3" xsi:nil="true"/>
    <DocumentType xmlns="5594bd82-14d3-4e69-bdcd-449fbe0b665f">Evaluation</DocumentType>
    <ReviewPeriod xmlns="5594bd82-14d3-4e69-bdcd-449fbe0b665f">2025 - 2026</ReviewPeriod>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8F41A2F-930E-4D23-9470-F6ACCCFF2413}"/>
</file>

<file path=customXml/itemProps3.xml><?xml version="1.0" encoding="utf-8"?>
<ds:datastoreItem xmlns:ds="http://schemas.openxmlformats.org/officeDocument/2006/customXml" ds:itemID="{B4AAD0BF-25CE-41D1-B093-2408B88C1CE8}">
  <ds:schemaRefs>
    <ds:schemaRef ds:uri="http://schemas.microsoft.com/sharepoint/v3/contenttype/forms"/>
  </ds:schemaRefs>
</ds:datastoreItem>
</file>

<file path=customXml/itemProps4.xml><?xml version="1.0" encoding="utf-8"?>
<ds:datastoreItem xmlns:ds="http://schemas.openxmlformats.org/officeDocument/2006/customXml" ds:itemID="{2A474C46-FCCD-4547-9CDF-F8D95C897D92}">
  <ds:schemaRefs>
    <ds:schemaRef ds:uri="http://schemas.openxmlformats.org/package/2006/metadata/core-properties"/>
    <ds:schemaRef ds:uri="http://www.w3.org/XML/1998/namespace"/>
    <ds:schemaRef ds:uri="http://purl.org/dc/elements/1.1/"/>
    <ds:schemaRef ds:uri="http://purl.org/dc/terms/"/>
    <ds:schemaRef ds:uri="66edb7a7-73d4-4d83-8e3d-db9444d9c9fa"/>
    <ds:schemaRef ds:uri="http://schemas.microsoft.com/office/infopath/2007/PartnerControls"/>
    <ds:schemaRef ds:uri="http://schemas.microsoft.com/office/2006/documentManagement/types"/>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1614</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 300 Syllabus — Spring 2026 (Accessible)</dc:title>
  <dc:subject>International Economics course syllabus</dc:subject>
  <dc:creator>Jeff Sarbaum</dc:creator>
  <cp:keywords/>
  <dc:description>ADA-compliant formatting: headings, lists, descriptive links, accessible tables, readable fonts.</dc:description>
  <cp:lastModifiedBy>Jeffrey Stuckey</cp:lastModifiedBy>
  <cp:revision>2</cp:revision>
  <dcterms:created xsi:type="dcterms:W3CDTF">2026-01-21T19:11:00Z</dcterms:created>
  <dcterms:modified xsi:type="dcterms:W3CDTF">2026-01-21T19:11:00Z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365796b3-63ad-403b-9c61-c7394481ddcd</vt:lpwstr>
  </property>
  <property fmtid="{D5CDD505-2E9C-101B-9397-08002B2CF9AE}" pid="3" name="ContentTypeId">
    <vt:lpwstr>0x0101009495F020A909894EA92FCE9EC2F909C0</vt:lpwstr>
  </property>
</Properties>
</file>